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480" w:lineRule="auto"/>
        <w:rPr>
          <w:vertAlign w:val="baseline"/>
        </w:rPr>
      </w:pPr>
      <w:r w:rsidDel="00000000" w:rsidR="00000000" w:rsidRPr="00000000">
        <w:rPr>
          <w:rtl w:val="0"/>
        </w:rPr>
      </w:r>
    </w:p>
    <w:p w:rsidR="00000000" w:rsidDel="00000000" w:rsidP="00000000" w:rsidRDefault="00000000" w:rsidRPr="00000000" w14:paraId="00000002">
      <w:pPr>
        <w:spacing w:after="0" w:line="480" w:lineRule="auto"/>
        <w:rPr>
          <w:vertAlign w:val="baseline"/>
        </w:rPr>
      </w:pPr>
      <w:r w:rsidDel="00000000" w:rsidR="00000000" w:rsidRPr="00000000">
        <w:rPr>
          <w:rtl w:val="0"/>
        </w:rPr>
      </w:r>
    </w:p>
    <w:p w:rsidR="00000000" w:rsidDel="00000000" w:rsidP="00000000" w:rsidRDefault="00000000" w:rsidRPr="00000000" w14:paraId="00000003">
      <w:pPr>
        <w:spacing w:after="0" w:line="480" w:lineRule="auto"/>
        <w:rPr>
          <w:vertAlign w:val="baseline"/>
        </w:rPr>
      </w:pPr>
      <w:r w:rsidDel="00000000" w:rsidR="00000000" w:rsidRPr="00000000">
        <w:rPr>
          <w:rtl w:val="0"/>
        </w:rPr>
      </w:r>
    </w:p>
    <w:p w:rsidR="00000000" w:rsidDel="00000000" w:rsidP="00000000" w:rsidRDefault="00000000" w:rsidRPr="00000000" w14:paraId="00000004">
      <w:pPr>
        <w:spacing w:after="0" w:line="480" w:lineRule="auto"/>
        <w:rPr>
          <w:vertAlign w:val="baseline"/>
        </w:rPr>
      </w:pPr>
      <w:r w:rsidDel="00000000" w:rsidR="00000000" w:rsidRPr="00000000">
        <w:rPr>
          <w:rtl w:val="0"/>
        </w:rPr>
      </w:r>
    </w:p>
    <w:p w:rsidR="00000000" w:rsidDel="00000000" w:rsidP="00000000" w:rsidRDefault="00000000" w:rsidRPr="00000000" w14:paraId="00000005">
      <w:pPr>
        <w:spacing w:after="0" w:line="480" w:lineRule="auto"/>
        <w:jc w:val="center"/>
        <w:rPr>
          <w:b w:val="0"/>
          <w:color w:val="202124"/>
          <w:highlight w:val="white"/>
          <w:vertAlign w:val="baseline"/>
        </w:rPr>
      </w:pPr>
      <w:r w:rsidDel="00000000" w:rsidR="00000000" w:rsidRPr="00000000">
        <w:rPr>
          <w:rtl w:val="0"/>
        </w:rPr>
      </w:r>
    </w:p>
    <w:p w:rsidR="00000000" w:rsidDel="00000000" w:rsidP="00000000" w:rsidRDefault="00000000" w:rsidRPr="00000000" w14:paraId="00000006">
      <w:pPr>
        <w:spacing w:after="0" w:line="480" w:lineRule="auto"/>
        <w:jc w:val="center"/>
        <w:rPr>
          <w:b w:val="1"/>
          <w:color w:val="0e101a"/>
          <w:vertAlign w:val="baseline"/>
        </w:rPr>
      </w:pPr>
      <w:r w:rsidDel="00000000" w:rsidR="00000000" w:rsidRPr="00000000">
        <w:rPr>
          <w:b w:val="1"/>
          <w:color w:val="0e101a"/>
          <w:vertAlign w:val="baseline"/>
          <w:rtl w:val="0"/>
        </w:rPr>
        <w:t xml:space="preserve">Ageism in Healthcare</w:t>
      </w:r>
    </w:p>
    <w:p w:rsidR="00000000" w:rsidDel="00000000" w:rsidP="00000000" w:rsidRDefault="00000000" w:rsidRPr="00000000" w14:paraId="00000007">
      <w:pPr>
        <w:spacing w:after="0" w:line="480" w:lineRule="auto"/>
        <w:jc w:val="center"/>
        <w:rPr>
          <w:vertAlign w:val="baseline"/>
        </w:rPr>
      </w:pPr>
      <w:r w:rsidDel="00000000" w:rsidR="00000000" w:rsidRPr="00000000">
        <w:rPr>
          <w:vertAlign w:val="baseline"/>
          <w:rtl w:val="0"/>
        </w:rPr>
        <w:t xml:space="preserve">Student Name</w:t>
      </w:r>
    </w:p>
    <w:p w:rsidR="00000000" w:rsidDel="00000000" w:rsidP="00000000" w:rsidRDefault="00000000" w:rsidRPr="00000000" w14:paraId="00000008">
      <w:pPr>
        <w:spacing w:after="0" w:line="480" w:lineRule="auto"/>
        <w:jc w:val="center"/>
        <w:rPr>
          <w:vertAlign w:val="baseline"/>
        </w:rPr>
      </w:pPr>
      <w:r w:rsidDel="00000000" w:rsidR="00000000" w:rsidRPr="00000000">
        <w:rPr>
          <w:vertAlign w:val="baseline"/>
          <w:rtl w:val="0"/>
        </w:rPr>
        <w:t xml:space="preserve">Institutional Affiliation </w:t>
      </w:r>
    </w:p>
    <w:p w:rsidR="00000000" w:rsidDel="00000000" w:rsidP="00000000" w:rsidRDefault="00000000" w:rsidRPr="00000000" w14:paraId="00000009">
      <w:pPr>
        <w:spacing w:after="0" w:line="480" w:lineRule="auto"/>
        <w:jc w:val="center"/>
        <w:rPr>
          <w:vertAlign w:val="baseline"/>
        </w:rPr>
      </w:pPr>
      <w:r w:rsidDel="00000000" w:rsidR="00000000" w:rsidRPr="00000000">
        <w:rPr>
          <w:vertAlign w:val="baseline"/>
          <w:rtl w:val="0"/>
        </w:rPr>
        <w:t xml:space="preserve">Course </w:t>
      </w:r>
    </w:p>
    <w:p w:rsidR="00000000" w:rsidDel="00000000" w:rsidP="00000000" w:rsidRDefault="00000000" w:rsidRPr="00000000" w14:paraId="0000000A">
      <w:pPr>
        <w:spacing w:after="0" w:line="480" w:lineRule="auto"/>
        <w:jc w:val="center"/>
        <w:rPr>
          <w:vertAlign w:val="baseline"/>
        </w:rPr>
      </w:pPr>
      <w:r w:rsidDel="00000000" w:rsidR="00000000" w:rsidRPr="00000000">
        <w:rPr>
          <w:vertAlign w:val="baseline"/>
          <w:rtl w:val="0"/>
        </w:rPr>
        <w:t xml:space="preserve">Instructor</w:t>
      </w:r>
    </w:p>
    <w:p w:rsidR="00000000" w:rsidDel="00000000" w:rsidP="00000000" w:rsidRDefault="00000000" w:rsidRPr="00000000" w14:paraId="0000000B">
      <w:pPr>
        <w:spacing w:after="0" w:line="480" w:lineRule="auto"/>
        <w:jc w:val="center"/>
        <w:rPr>
          <w:vertAlign w:val="baseline"/>
        </w:rPr>
      </w:pPr>
      <w:r w:rsidDel="00000000" w:rsidR="00000000" w:rsidRPr="00000000">
        <w:rPr>
          <w:vertAlign w:val="baseline"/>
          <w:rtl w:val="0"/>
        </w:rPr>
        <w:t xml:space="preserve">Date of Submission</w:t>
      </w:r>
    </w:p>
    <w:p w:rsidR="00000000" w:rsidDel="00000000" w:rsidP="00000000" w:rsidRDefault="00000000" w:rsidRPr="00000000" w14:paraId="0000000C">
      <w:pPr>
        <w:spacing w:after="0" w:line="480" w:lineRule="auto"/>
        <w:ind w:firstLine="720"/>
        <w:jc w:val="center"/>
        <w:rPr>
          <w:vertAlign w:val="baseline"/>
        </w:rPr>
      </w:pPr>
      <w:r w:rsidDel="00000000" w:rsidR="00000000" w:rsidRPr="00000000">
        <w:rPr>
          <w:rtl w:val="0"/>
        </w:rPr>
      </w:r>
    </w:p>
    <w:p w:rsidR="00000000" w:rsidDel="00000000" w:rsidP="00000000" w:rsidRDefault="00000000" w:rsidRPr="00000000" w14:paraId="0000000D">
      <w:pPr>
        <w:spacing w:after="0" w:line="480" w:lineRule="auto"/>
        <w:ind w:firstLine="720"/>
        <w:jc w:val="center"/>
        <w:rPr>
          <w:vertAlign w:val="baseline"/>
        </w:rPr>
      </w:pPr>
      <w:r w:rsidDel="00000000" w:rsidR="00000000" w:rsidRPr="00000000">
        <w:rPr>
          <w:rtl w:val="0"/>
        </w:rPr>
      </w:r>
    </w:p>
    <w:p w:rsidR="00000000" w:rsidDel="00000000" w:rsidP="00000000" w:rsidRDefault="00000000" w:rsidRPr="00000000" w14:paraId="0000000E">
      <w:pPr>
        <w:spacing w:after="0" w:line="480" w:lineRule="auto"/>
        <w:rPr>
          <w:vertAlign w:val="baseline"/>
        </w:rPr>
      </w:pPr>
      <w:r w:rsidDel="00000000" w:rsidR="00000000" w:rsidRPr="00000000">
        <w:rPr>
          <w:rtl w:val="0"/>
        </w:rPr>
      </w:r>
    </w:p>
    <w:p w:rsidR="00000000" w:rsidDel="00000000" w:rsidP="00000000" w:rsidRDefault="00000000" w:rsidRPr="00000000" w14:paraId="0000000F">
      <w:pPr>
        <w:spacing w:after="0" w:line="480" w:lineRule="auto"/>
        <w:rP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b w:val="0"/>
          <w:i w:val="0"/>
          <w:smallCaps w:val="0"/>
          <w:strike w:val="0"/>
          <w:color w:val="0e101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spacing w:after="0" w:line="480" w:lineRule="auto"/>
        <w:jc w:val="center"/>
        <w:rPr>
          <w:b w:val="0"/>
          <w:color w:val="202124"/>
          <w:highlight w:val="white"/>
          <w:vertAlign w:val="baseline"/>
        </w:rPr>
      </w:pPr>
      <w:r w:rsidDel="00000000" w:rsidR="00000000" w:rsidRPr="00000000">
        <w:rPr>
          <w:rtl w:val="0"/>
        </w:rPr>
      </w:r>
    </w:p>
    <w:p w:rsidR="00000000" w:rsidDel="00000000" w:rsidP="00000000" w:rsidRDefault="00000000" w:rsidRPr="00000000" w14:paraId="00000014">
      <w:pPr>
        <w:spacing w:after="0" w:line="480" w:lineRule="auto"/>
        <w:jc w:val="center"/>
        <w:rPr>
          <w:b w:val="0"/>
          <w:color w:val="202124"/>
          <w:highlight w:val="white"/>
          <w:vertAlign w:val="baseline"/>
        </w:rPr>
      </w:pPr>
      <w:r w:rsidDel="00000000" w:rsidR="00000000" w:rsidRPr="00000000">
        <w:rPr>
          <w:rtl w:val="0"/>
        </w:rPr>
      </w:r>
    </w:p>
    <w:p w:rsidR="00000000" w:rsidDel="00000000" w:rsidP="00000000" w:rsidRDefault="00000000" w:rsidRPr="00000000" w14:paraId="00000015">
      <w:pPr>
        <w:spacing w:after="0" w:line="480" w:lineRule="auto"/>
        <w:jc w:val="center"/>
        <w:rPr>
          <w:b w:val="0"/>
          <w:color w:val="202124"/>
          <w:highlight w:val="white"/>
          <w:vertAlign w:val="baseline"/>
        </w:rPr>
      </w:pPr>
      <w:r w:rsidDel="00000000" w:rsidR="00000000" w:rsidRPr="00000000">
        <w:rPr>
          <w:rtl w:val="0"/>
        </w:rPr>
      </w:r>
    </w:p>
    <w:p w:rsidR="00000000" w:rsidDel="00000000" w:rsidP="00000000" w:rsidRDefault="00000000" w:rsidRPr="00000000" w14:paraId="00000016">
      <w:pPr>
        <w:spacing w:after="0" w:line="480" w:lineRule="auto"/>
        <w:jc w:val="center"/>
        <w:rPr>
          <w:b w:val="0"/>
          <w:color w:val="202124"/>
          <w:highlight w:val="white"/>
          <w:vertAlign w:val="baseline"/>
        </w:rPr>
      </w:pPr>
      <w:r w:rsidDel="00000000" w:rsidR="00000000" w:rsidRPr="00000000">
        <w:rPr>
          <w:rtl w:val="0"/>
        </w:rPr>
      </w:r>
    </w:p>
    <w:p w:rsidR="00000000" w:rsidDel="00000000" w:rsidP="00000000" w:rsidRDefault="00000000" w:rsidRPr="00000000" w14:paraId="00000017">
      <w:pPr>
        <w:spacing w:after="0" w:line="480" w:lineRule="auto"/>
        <w:rPr>
          <w:b w:val="0"/>
          <w:color w:val="202124"/>
          <w:highlight w:val="white"/>
          <w:vertAlign w:val="baseline"/>
        </w:rPr>
      </w:pPr>
      <w:r w:rsidDel="00000000" w:rsidR="00000000" w:rsidRPr="00000000">
        <w:rPr>
          <w:rtl w:val="0"/>
        </w:rPr>
      </w:r>
    </w:p>
    <w:p w:rsidR="00000000" w:rsidDel="00000000" w:rsidP="00000000" w:rsidRDefault="00000000" w:rsidRPr="00000000" w14:paraId="00000018">
      <w:pPr>
        <w:spacing w:after="0" w:line="480" w:lineRule="auto"/>
        <w:jc w:val="center"/>
        <w:rPr>
          <w:b w:val="1"/>
          <w:color w:val="0e101a"/>
          <w:vertAlign w:val="baseline"/>
        </w:rPr>
      </w:pPr>
      <w:r w:rsidDel="00000000" w:rsidR="00000000" w:rsidRPr="00000000">
        <w:rPr>
          <w:b w:val="1"/>
          <w:color w:val="0e101a"/>
          <w:vertAlign w:val="baseline"/>
          <w:rtl w:val="0"/>
        </w:rPr>
        <w:t xml:space="preserve">Ageism in Healthcare</w:t>
      </w:r>
    </w:p>
    <w:p w:rsidR="00000000" w:rsidDel="00000000" w:rsidP="00000000" w:rsidRDefault="00000000" w:rsidRPr="00000000" w14:paraId="00000019">
      <w:pPr>
        <w:spacing w:after="0" w:line="480" w:lineRule="auto"/>
        <w:ind w:firstLine="720"/>
        <w:rPr>
          <w:highlight w:val="white"/>
          <w:vertAlign w:val="baseline"/>
        </w:rPr>
      </w:pPr>
      <w:r w:rsidDel="00000000" w:rsidR="00000000" w:rsidRPr="00000000">
        <w:rPr>
          <w:highlight w:val="white"/>
          <w:vertAlign w:val="baseline"/>
          <w:rtl w:val="0"/>
        </w:rPr>
        <w:t xml:space="preserve">Discrimination which is usually based on age, is what is referred to as ageism. It may be a result of negative attitudes or even a result of unfair treatment towards people based on their age. One of the examples of ageism that I have witnessed in healthcare is losing a job because of one’s age. In my view, I think ageism affects older adults due to the number of mental healthcare conditions. Examples of such healthcare conditions include physical health conditions such as short life expectancy and depression (</w:t>
      </w:r>
      <w:r w:rsidDel="00000000" w:rsidR="00000000" w:rsidRPr="00000000">
        <w:rPr>
          <w:color w:val="222222"/>
          <w:highlight w:val="white"/>
          <w:vertAlign w:val="baseline"/>
          <w:rtl w:val="0"/>
        </w:rPr>
        <w:t xml:space="preserve">Uğurlu et al., 2019). </w:t>
      </w:r>
      <w:r w:rsidDel="00000000" w:rsidR="00000000" w:rsidRPr="00000000">
        <w:rPr>
          <w:highlight w:val="white"/>
          <w:vertAlign w:val="baseline"/>
          <w:rtl w:val="0"/>
        </w:rPr>
        <w:t xml:space="preserve">However, I think there are various things that nurses can do to stop or mitigate ageism in healthcare settings. Such strategies include acknowledging the need to eliminate ageism in practice, adopting an individualized personal-centered treatment approach, and defining the non-ageism attitudes and practices (</w:t>
      </w:r>
      <w:r w:rsidDel="00000000" w:rsidR="00000000" w:rsidRPr="00000000">
        <w:rPr>
          <w:color w:val="222222"/>
          <w:highlight w:val="white"/>
          <w:vertAlign w:val="baseline"/>
          <w:rtl w:val="0"/>
        </w:rPr>
        <w:t xml:space="preserve">Buttigieg et al., 2018).</w:t>
      </w:r>
      <w:r w:rsidDel="00000000" w:rsidR="00000000" w:rsidRPr="00000000">
        <w:rPr>
          <w:rtl w:val="0"/>
        </w:rPr>
      </w:r>
    </w:p>
    <w:p w:rsidR="00000000" w:rsidDel="00000000" w:rsidP="00000000" w:rsidRDefault="00000000" w:rsidRPr="00000000" w14:paraId="0000001A">
      <w:pPr>
        <w:spacing w:after="0" w:line="480" w:lineRule="auto"/>
        <w:ind w:firstLine="720"/>
        <w:rPr>
          <w:highlight w:val="white"/>
          <w:vertAlign w:val="baseline"/>
        </w:rPr>
      </w:pPr>
      <w:r w:rsidDel="00000000" w:rsidR="00000000" w:rsidRPr="00000000">
        <w:rPr>
          <w:highlight w:val="white"/>
          <w:vertAlign w:val="baseline"/>
          <w:rtl w:val="0"/>
        </w:rPr>
        <w:t xml:space="preserve">The medical practitioners can also educate older adults in and around the healthcare settings on the ways of overcoming ageism in order to reducing ageism. Such practices include teaching older adults on how they can surround themselves with young people, being positive, being independent as they can, speaking up, and engaging themselves with the world (</w:t>
      </w:r>
      <w:r w:rsidDel="00000000" w:rsidR="00000000" w:rsidRPr="00000000">
        <w:rPr>
          <w:color w:val="222222"/>
          <w:highlight w:val="white"/>
          <w:vertAlign w:val="baseline"/>
          <w:rtl w:val="0"/>
        </w:rPr>
        <w:t xml:space="preserve">São José et al., 2019). </w:t>
      </w:r>
      <w:r w:rsidDel="00000000" w:rsidR="00000000" w:rsidRPr="00000000">
        <w:rPr>
          <w:highlight w:val="white"/>
          <w:vertAlign w:val="baseline"/>
          <w:rtl w:val="0"/>
        </w:rPr>
        <w:t xml:space="preserve"> It is also significant to tell the older adult that older adults who always stay active both physically and mentally tend to overcome ageism more easily.</w:t>
      </w:r>
    </w:p>
    <w:p w:rsidR="00000000" w:rsidDel="00000000" w:rsidP="00000000" w:rsidRDefault="00000000" w:rsidRPr="00000000" w14:paraId="0000001B">
      <w:pPr>
        <w:spacing w:after="0" w:line="480" w:lineRule="auto"/>
        <w:ind w:firstLine="720"/>
        <w:rPr>
          <w:highlight w:val="white"/>
          <w:vertAlign w:val="baseline"/>
        </w:rPr>
      </w:pPr>
      <w:r w:rsidDel="00000000" w:rsidR="00000000" w:rsidRPr="00000000">
        <w:rPr>
          <w:highlight w:val="white"/>
          <w:vertAlign w:val="baseline"/>
          <w:rtl w:val="0"/>
        </w:rPr>
        <w:t xml:space="preserve">The need for nurses in enhancing positive aging in healthcare settings is to demonstrate and promote a positive view, such as in enhancing empathy and respect for older adults (</w:t>
      </w:r>
      <w:r w:rsidDel="00000000" w:rsidR="00000000" w:rsidRPr="00000000">
        <w:rPr>
          <w:color w:val="222222"/>
          <w:highlight w:val="white"/>
          <w:vertAlign w:val="baseline"/>
          <w:rtl w:val="0"/>
        </w:rPr>
        <w:t xml:space="preserve">Uğurlu et al., 2019). </w:t>
      </w:r>
      <w:r w:rsidDel="00000000" w:rsidR="00000000" w:rsidRPr="00000000">
        <w:rPr>
          <w:highlight w:val="white"/>
          <w:vertAlign w:val="baseline"/>
          <w:rtl w:val="0"/>
        </w:rPr>
        <w:t xml:space="preserve">It also ensures effective communication of both verbal and in documentation skills in the assessment of various barriers encountered by the older adults. Examples of such barriers includes understanding, receiving and giving out information</w:t>
      </w:r>
      <w:r w:rsidDel="00000000" w:rsidR="00000000" w:rsidRPr="00000000">
        <w:rPr>
          <w:color w:val="222222"/>
          <w:highlight w:val="white"/>
          <w:vertAlign w:val="baseline"/>
          <w:rtl w:val="0"/>
        </w:rPr>
        <w:t xml:space="preserve"> (São José et al., 2019). </w:t>
      </w:r>
      <w:r w:rsidDel="00000000" w:rsidR="00000000" w:rsidRPr="00000000">
        <w:rPr>
          <w:highlight w:val="white"/>
          <w:vertAlign w:val="baseline"/>
          <w:rtl w:val="0"/>
        </w:rPr>
        <w:t xml:space="preserve"> </w:t>
      </w:r>
    </w:p>
    <w:p w:rsidR="00000000" w:rsidDel="00000000" w:rsidP="00000000" w:rsidRDefault="00000000" w:rsidRPr="00000000" w14:paraId="0000001C">
      <w:pPr>
        <w:spacing w:after="0" w:line="480" w:lineRule="auto"/>
        <w:rPr>
          <w:highlight w:val="white"/>
          <w:vertAlign w:val="baseline"/>
        </w:rPr>
      </w:pPr>
      <w:r w:rsidDel="00000000" w:rsidR="00000000" w:rsidRPr="00000000">
        <w:rPr>
          <w:rtl w:val="0"/>
        </w:rPr>
      </w:r>
    </w:p>
    <w:p w:rsidR="00000000" w:rsidDel="00000000" w:rsidP="00000000" w:rsidRDefault="00000000" w:rsidRPr="00000000" w14:paraId="0000001D">
      <w:pPr>
        <w:spacing w:after="0" w:line="480" w:lineRule="auto"/>
        <w:jc w:val="center"/>
        <w:rPr>
          <w:highlight w:val="white"/>
          <w:vertAlign w:val="baseline"/>
        </w:rPr>
      </w:pPr>
      <w:r w:rsidDel="00000000" w:rsidR="00000000" w:rsidRPr="00000000">
        <w:rPr>
          <w:highlight w:val="white"/>
          <w:vertAlign w:val="baseline"/>
          <w:rtl w:val="0"/>
        </w:rPr>
        <w:t xml:space="preserve">References</w:t>
      </w:r>
    </w:p>
    <w:p w:rsidR="00000000" w:rsidDel="00000000" w:rsidP="00000000" w:rsidRDefault="00000000" w:rsidRPr="00000000" w14:paraId="0000001E">
      <w:pPr>
        <w:spacing w:after="0" w:line="480" w:lineRule="auto"/>
        <w:ind w:left="720" w:hanging="720"/>
        <w:rPr>
          <w:highlight w:val="white"/>
          <w:vertAlign w:val="baseline"/>
        </w:rPr>
      </w:pPr>
      <w:r w:rsidDel="00000000" w:rsidR="00000000" w:rsidRPr="00000000">
        <w:rPr>
          <w:color w:val="222222"/>
          <w:highlight w:val="white"/>
          <w:vertAlign w:val="baseline"/>
          <w:rtl w:val="0"/>
        </w:rPr>
        <w:t xml:space="preserve">Buttigieg, S. C., Ilinca, S., de Sao Jose, J. M., &amp; Larsson, A. T. (2018). Researching ageism in health-care and long-term care. In </w:t>
      </w:r>
      <w:r w:rsidDel="00000000" w:rsidR="00000000" w:rsidRPr="00000000">
        <w:rPr>
          <w:i w:val="1"/>
          <w:color w:val="222222"/>
          <w:highlight w:val="white"/>
          <w:vertAlign w:val="baseline"/>
          <w:rtl w:val="0"/>
        </w:rPr>
        <w:t xml:space="preserve">Contemporary perspectives on ageism</w:t>
      </w:r>
      <w:r w:rsidDel="00000000" w:rsidR="00000000" w:rsidRPr="00000000">
        <w:rPr>
          <w:color w:val="222222"/>
          <w:highlight w:val="white"/>
          <w:vertAlign w:val="baseline"/>
          <w:rtl w:val="0"/>
        </w:rPr>
        <w:t xml:space="preserve"> (pp. 493-515). Springer, Cham.</w:t>
      </w:r>
      <w:r w:rsidDel="00000000" w:rsidR="00000000" w:rsidRPr="00000000">
        <w:rPr>
          <w:rtl w:val="0"/>
        </w:rPr>
      </w:r>
    </w:p>
    <w:p w:rsidR="00000000" w:rsidDel="00000000" w:rsidP="00000000" w:rsidRDefault="00000000" w:rsidRPr="00000000" w14:paraId="0000001F">
      <w:pPr>
        <w:spacing w:after="0" w:line="480" w:lineRule="auto"/>
        <w:ind w:left="720" w:hanging="720"/>
        <w:rPr>
          <w:color w:val="222222"/>
          <w:highlight w:val="white"/>
          <w:vertAlign w:val="baseline"/>
        </w:rPr>
      </w:pPr>
      <w:bookmarkStart w:colFirst="0" w:colLast="0" w:name="_gjdgxs" w:id="0"/>
      <w:bookmarkEnd w:id="0"/>
      <w:r w:rsidDel="00000000" w:rsidR="00000000" w:rsidRPr="00000000">
        <w:rPr>
          <w:color w:val="222222"/>
          <w:highlight w:val="white"/>
          <w:vertAlign w:val="baseline"/>
          <w:rtl w:val="0"/>
        </w:rPr>
        <w:t xml:space="preserve">São José, J. M. S., Amado, C. A. F., Ilinca, S., Buttigieg, S. C., &amp; Taghizadeh Larsson, A. (2019). Ageism in health care: a systematic review of operational definitions and inductive conceptualizations. </w:t>
      </w:r>
      <w:r w:rsidDel="00000000" w:rsidR="00000000" w:rsidRPr="00000000">
        <w:rPr>
          <w:i w:val="1"/>
          <w:color w:val="222222"/>
          <w:highlight w:val="white"/>
          <w:vertAlign w:val="baseline"/>
          <w:rtl w:val="0"/>
        </w:rPr>
        <w:t xml:space="preserve">The Gerontologist</w:t>
      </w:r>
      <w:r w:rsidDel="00000000" w:rsidR="00000000" w:rsidRPr="00000000">
        <w:rPr>
          <w:color w:val="222222"/>
          <w:highlight w:val="white"/>
          <w:vertAlign w:val="baseline"/>
          <w:rtl w:val="0"/>
        </w:rPr>
        <w:t xml:space="preserve">, </w:t>
      </w:r>
      <w:r w:rsidDel="00000000" w:rsidR="00000000" w:rsidRPr="00000000">
        <w:rPr>
          <w:i w:val="1"/>
          <w:color w:val="222222"/>
          <w:highlight w:val="white"/>
          <w:vertAlign w:val="baseline"/>
          <w:rtl w:val="0"/>
        </w:rPr>
        <w:t xml:space="preserve">59</w:t>
      </w:r>
      <w:r w:rsidDel="00000000" w:rsidR="00000000" w:rsidRPr="00000000">
        <w:rPr>
          <w:color w:val="222222"/>
          <w:highlight w:val="white"/>
          <w:vertAlign w:val="baseline"/>
          <w:rtl w:val="0"/>
        </w:rPr>
        <w:t xml:space="preserve">(2), e98-e108.</w:t>
      </w:r>
    </w:p>
    <w:p w:rsidR="00000000" w:rsidDel="00000000" w:rsidP="00000000" w:rsidRDefault="00000000" w:rsidRPr="00000000" w14:paraId="00000020">
      <w:pPr>
        <w:spacing w:after="0" w:line="480" w:lineRule="auto"/>
        <w:ind w:left="720" w:hanging="720"/>
        <w:rPr>
          <w:highlight w:val="white"/>
          <w:vertAlign w:val="baseline"/>
        </w:rPr>
      </w:pPr>
      <w:r w:rsidDel="00000000" w:rsidR="00000000" w:rsidRPr="00000000">
        <w:rPr>
          <w:color w:val="222222"/>
          <w:highlight w:val="white"/>
          <w:vertAlign w:val="baseline"/>
          <w:rtl w:val="0"/>
        </w:rPr>
        <w:t xml:space="preserve">Uğurlu, Z., Kav, S., Karahan, A., &amp; Akgün Çıtak, E. (2019). Correlates of ageism among health care professionals working with older adults. </w:t>
      </w:r>
      <w:r w:rsidDel="00000000" w:rsidR="00000000" w:rsidRPr="00000000">
        <w:rPr>
          <w:i w:val="1"/>
          <w:color w:val="222222"/>
          <w:highlight w:val="white"/>
          <w:vertAlign w:val="baseline"/>
          <w:rtl w:val="0"/>
        </w:rPr>
        <w:t xml:space="preserve">Journal of Transcultural Nursing</w:t>
      </w:r>
      <w:r w:rsidDel="00000000" w:rsidR="00000000" w:rsidRPr="00000000">
        <w:rPr>
          <w:color w:val="222222"/>
          <w:highlight w:val="white"/>
          <w:vertAlign w:val="baseline"/>
          <w:rtl w:val="0"/>
        </w:rPr>
        <w:t xml:space="preserve">, </w:t>
      </w:r>
      <w:r w:rsidDel="00000000" w:rsidR="00000000" w:rsidRPr="00000000">
        <w:rPr>
          <w:i w:val="1"/>
          <w:color w:val="222222"/>
          <w:highlight w:val="white"/>
          <w:vertAlign w:val="baseline"/>
          <w:rtl w:val="0"/>
        </w:rPr>
        <w:t xml:space="preserve">30</w:t>
      </w:r>
      <w:r w:rsidDel="00000000" w:rsidR="00000000" w:rsidRPr="00000000">
        <w:rPr>
          <w:color w:val="222222"/>
          <w:highlight w:val="white"/>
          <w:vertAlign w:val="baseline"/>
          <w:rtl w:val="0"/>
        </w:rPr>
        <w:t xml:space="preserve">(3), 303-312.</w:t>
      </w:r>
      <w:r w:rsidDel="00000000" w:rsidR="00000000" w:rsidRPr="00000000">
        <w:rPr>
          <w:rtl w:val="0"/>
        </w:rPr>
      </w:r>
    </w:p>
    <w:sectPr>
      <w:headerReference r:id="rId6" w:type="default"/>
      <w:headerReference r:id="rId7"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